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eastAsia="zh-CN"/>
        </w:rPr>
      </w:pPr>
      <w:r>
        <w:rPr>
          <w:rFonts w:ascii="Arial" w:hAnsi="Arial" w:cs="Arial"/>
          <w:b/>
          <w:sz w:val="24"/>
        </w:rPr>
        <w:t>3GPP TSG-RAN WG4 Meeting #100-e</w:t>
      </w:r>
      <w:r>
        <w:rPr>
          <w:rFonts w:ascii="Arial" w:hAnsi="Arial" w:eastAsia="MS Mincho"/>
          <w:b/>
          <w:sz w:val="24"/>
        </w:rPr>
        <w:tab/>
      </w:r>
      <w:r>
        <w:rPr>
          <w:rFonts w:hint="eastAsia" w:ascii="Arial" w:hAnsi="Arial"/>
          <w:b/>
          <w:sz w:val="24"/>
          <w:lang w:eastAsia="zh-CN"/>
        </w:rPr>
        <w:t>R4-2113198</w:t>
      </w:r>
      <w:bookmarkStart w:id="0" w:name="_GoBack"/>
      <w:bookmarkEnd w:id="0"/>
    </w:p>
    <w:p>
      <w:pPr>
        <w:tabs>
          <w:tab w:val="left" w:pos="3106"/>
          <w:tab w:val="center" w:pos="4536"/>
          <w:tab w:val="right" w:pos="9072"/>
        </w:tabs>
        <w:jc w:val="both"/>
        <w:rPr>
          <w:rFonts w:ascii="Arial" w:hAnsi="Arial" w:eastAsia="宋体"/>
          <w:b/>
          <w:sz w:val="24"/>
          <w:lang w:val="en-GB" w:eastAsia="zh-CN"/>
        </w:rPr>
      </w:pPr>
      <w:r>
        <w:rPr>
          <w:rFonts w:ascii="Arial" w:hAnsi="Arial" w:eastAsia="宋体" w:cs="Arial"/>
          <w:b/>
          <w:sz w:val="24"/>
          <w:lang w:eastAsia="zh-CN"/>
        </w:rPr>
        <w:t>Electronic Meeting, August 16-27,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Theme="minorEastAsia"/>
          <w:b/>
          <w:sz w:val="24"/>
          <w:lang w:eastAsia="zh-CN"/>
        </w:rPr>
        <w:t xml:space="preserve">          </w:t>
      </w:r>
      <w:r>
        <w:rPr>
          <w:rFonts w:hint="eastAsia" w:ascii="Arial" w:hAnsi="Arial" w:eastAsia="MS Mincho"/>
          <w:b/>
          <w:sz w:val="24"/>
          <w:lang w:eastAsia="zh-CN"/>
        </w:rPr>
        <w:t>Simultaneous operation of IAB child and parent links</w:t>
      </w:r>
    </w:p>
    <w:p>
      <w:pPr>
        <w:pStyle w:val="14"/>
        <w:tabs>
          <w:tab w:val="left" w:pos="1800"/>
          <w:tab w:val="left" w:pos="3825"/>
          <w:tab w:val="clear" w:pos="4536"/>
          <w:tab w:val="clear" w:pos="9072"/>
        </w:tabs>
        <w:spacing w:after="60"/>
        <w:jc w:val="both"/>
        <w:rPr>
          <w:rFonts w:eastAsia="宋体"/>
          <w:sz w:val="24"/>
          <w:lang w:val="en-US" w:eastAsia="zh-CN"/>
        </w:rPr>
      </w:pPr>
      <w:r>
        <w:rPr>
          <w:sz w:val="24"/>
          <w:lang w:val="sv-SE"/>
        </w:rPr>
        <w:t>Agenda Item:</w:t>
      </w:r>
      <w:r>
        <w:rPr>
          <w:sz w:val="24"/>
          <w:lang w:val="sv-SE"/>
        </w:rPr>
        <w:tab/>
      </w:r>
      <w:r>
        <w:rPr>
          <w:rFonts w:hint="eastAsia" w:eastAsia="宋体"/>
          <w:sz w:val="24"/>
          <w:lang w:val="en-US" w:eastAsia="zh-CN"/>
        </w:rPr>
        <w:t>9.17.2.1</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4"/>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analysis on the issue of Rx power imbalance for simultaneous reception between child link and parent link is provided.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29"/>
        <w:ind w:firstLine="0" w:firstLineChars="0"/>
        <w:rPr>
          <w:rFonts w:ascii="Times New Roman" w:hAnsi="Times New Roman"/>
          <w:bCs/>
          <w:kern w:val="0"/>
          <w:sz w:val="20"/>
          <w:szCs w:val="20"/>
        </w:rPr>
      </w:pPr>
      <w:r>
        <w:rPr>
          <w:rFonts w:hint="eastAsia" w:ascii="Times New Roman" w:hAnsi="Times New Roman"/>
          <w:bCs/>
          <w:kern w:val="0"/>
          <w:sz w:val="20"/>
          <w:szCs w:val="20"/>
        </w:rPr>
        <w:t>In RAN4 #99-e meeting, the issue of power imbalance was identified</w:t>
      </w:r>
      <w:r>
        <w:rPr>
          <w:rFonts w:hint="eastAsia" w:ascii="Times New Roman" w:hAnsi="Times New Roman"/>
          <w:bCs/>
          <w:kern w:val="0"/>
          <w:sz w:val="20"/>
          <w:szCs w:val="20"/>
          <w:vertAlign w:val="superscript"/>
        </w:rPr>
        <w:t xml:space="preserve">[1] </w:t>
      </w:r>
      <w:r>
        <w:rPr>
          <w:rFonts w:hint="eastAsia" w:ascii="Times New Roman" w:hAnsi="Times New Roman"/>
          <w:bCs/>
          <w:kern w:val="0"/>
          <w:sz w:val="20"/>
          <w:szCs w:val="20"/>
        </w:rPr>
        <w:t>as following:</w:t>
      </w:r>
    </w:p>
    <w:p>
      <w:pPr>
        <w:rPr>
          <w:b/>
          <w:color w:val="000000" w:themeColor="text1"/>
          <w:lang w:eastAsia="ko-KR"/>
        </w:rPr>
      </w:pPr>
      <w:r>
        <w:rPr>
          <w:b/>
          <w:color w:val="000000" w:themeColor="text1"/>
          <w:lang w:eastAsia="ko-KR"/>
        </w:rPr>
        <w:t>Simultaneous operation of IAB-node’s child and parent links by FDM</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6" w:type="dxa"/>
          </w:tcPr>
          <w:p>
            <w:pPr>
              <w:adjustRightInd w:val="0"/>
              <w:snapToGrid w:val="0"/>
              <w:spacing w:line="240" w:lineRule="auto"/>
              <w:rPr>
                <w:szCs w:val="20"/>
              </w:rPr>
            </w:pPr>
            <w:r>
              <w:rPr>
                <w:b/>
                <w:szCs w:val="20"/>
              </w:rPr>
              <w:t>Way forward</w:t>
            </w:r>
            <w:r>
              <w:rPr>
                <w:szCs w:val="20"/>
              </w:rPr>
              <w:t>:</w:t>
            </w:r>
          </w:p>
          <w:p>
            <w:pPr>
              <w:adjustRightInd w:val="0"/>
              <w:snapToGrid w:val="0"/>
              <w:spacing w:after="120" w:line="240" w:lineRule="auto"/>
              <w:rPr>
                <w:rFonts w:eastAsia="宋体"/>
                <w:color w:val="000000" w:themeColor="text1"/>
                <w:szCs w:val="20"/>
              </w:rPr>
            </w:pPr>
            <w:r>
              <w:rPr>
                <w:rFonts w:eastAsia="宋体"/>
                <w:color w:val="000000" w:themeColor="text1"/>
                <w:szCs w:val="20"/>
              </w:rPr>
              <w:t>Discuss further scenario of IAB-MT and IAB-DU share the same antenna array to support IAB simultaneous operation by FDM way includes but not limits to below aspects:</w:t>
            </w:r>
          </w:p>
          <w:p>
            <w:pPr>
              <w:pStyle w:val="29"/>
              <w:numPr>
                <w:ilvl w:val="0"/>
                <w:numId w:val="4"/>
              </w:numPr>
              <w:adjustRightInd w:val="0"/>
              <w:snapToGrid w:val="0"/>
              <w:spacing w:after="120" w:line="240" w:lineRule="auto"/>
              <w:ind w:firstLine="400"/>
              <w:rPr>
                <w:rFonts w:ascii="Times New Roman" w:hAnsi="Times New Roman"/>
                <w:color w:val="000000" w:themeColor="text1"/>
                <w:sz w:val="20"/>
                <w:szCs w:val="20"/>
              </w:rPr>
            </w:pPr>
            <w:r>
              <w:rPr>
                <w:rFonts w:ascii="Times New Roman" w:hAnsi="Times New Roman"/>
                <w:color w:val="000000" w:themeColor="text1"/>
                <w:sz w:val="20"/>
                <w:szCs w:val="20"/>
              </w:rPr>
              <w:t>For case different beams applied for MT and DU FFS on feasible isolation between beams and associated RF impact.</w:t>
            </w:r>
          </w:p>
          <w:p>
            <w:pPr>
              <w:pStyle w:val="29"/>
              <w:numPr>
                <w:ilvl w:val="0"/>
                <w:numId w:val="4"/>
              </w:numPr>
              <w:adjustRightInd w:val="0"/>
              <w:snapToGrid w:val="0"/>
              <w:spacing w:after="120" w:line="240" w:lineRule="auto"/>
              <w:ind w:firstLine="400"/>
              <w:rPr>
                <w:rFonts w:ascii="Times New Roman" w:hAnsi="Times New Roman"/>
                <w:color w:val="000000" w:themeColor="text1"/>
                <w:sz w:val="20"/>
                <w:szCs w:val="20"/>
              </w:rPr>
            </w:pPr>
            <w:r>
              <w:rPr>
                <w:rFonts w:ascii="Times New Roman" w:hAnsi="Times New Roman"/>
                <w:color w:val="000000" w:themeColor="text1"/>
                <w:sz w:val="20"/>
                <w:szCs w:val="20"/>
              </w:rPr>
              <w:t>For case one beam shared between MT and DU FFS on</w:t>
            </w:r>
          </w:p>
          <w:p>
            <w:pPr>
              <w:pStyle w:val="29"/>
              <w:numPr>
                <w:ilvl w:val="1"/>
                <w:numId w:val="4"/>
              </w:numPr>
              <w:adjustRightInd w:val="0"/>
              <w:snapToGrid w:val="0"/>
              <w:spacing w:after="120" w:line="240" w:lineRule="auto"/>
              <w:ind w:firstLine="400"/>
              <w:rPr>
                <w:rFonts w:ascii="Times New Roman" w:hAnsi="Times New Roman"/>
                <w:color w:val="000000" w:themeColor="text1"/>
                <w:sz w:val="20"/>
                <w:szCs w:val="20"/>
              </w:rPr>
            </w:pPr>
            <w:r>
              <w:rPr>
                <w:rFonts w:ascii="Times New Roman" w:hAnsi="Times New Roman"/>
                <w:color w:val="000000" w:themeColor="text1"/>
                <w:sz w:val="20"/>
                <w:szCs w:val="20"/>
              </w:rPr>
              <w:t>Tx power imbalance between MT and DU for simultaneous MT TX and DU TX</w:t>
            </w:r>
          </w:p>
          <w:p>
            <w:pPr>
              <w:pStyle w:val="29"/>
              <w:numPr>
                <w:ilvl w:val="1"/>
                <w:numId w:val="4"/>
              </w:numPr>
              <w:adjustRightInd w:val="0"/>
              <w:snapToGrid w:val="0"/>
              <w:spacing w:after="120" w:line="240" w:lineRule="auto"/>
              <w:ind w:firstLine="400"/>
              <w:rPr>
                <w:rFonts w:ascii="Times New Roman" w:hAnsi="Times New Roman"/>
                <w:color w:val="000000" w:themeColor="text1"/>
                <w:sz w:val="20"/>
                <w:szCs w:val="20"/>
              </w:rPr>
            </w:pPr>
            <w:r>
              <w:rPr>
                <w:rFonts w:ascii="Times New Roman" w:hAnsi="Times New Roman"/>
                <w:color w:val="000000" w:themeColor="text1"/>
                <w:sz w:val="20"/>
                <w:szCs w:val="20"/>
              </w:rPr>
              <w:t>RX power imbalance between MT and DU for simultaneous MT RX and DU RX</w:t>
            </w:r>
          </w:p>
          <w:p>
            <w:pPr>
              <w:pStyle w:val="29"/>
              <w:numPr>
                <w:ilvl w:val="1"/>
                <w:numId w:val="4"/>
              </w:numPr>
              <w:adjustRightInd w:val="0"/>
              <w:snapToGrid w:val="0"/>
              <w:spacing w:after="120" w:line="240" w:lineRule="auto"/>
              <w:ind w:firstLine="400"/>
              <w:rPr>
                <w:rFonts w:ascii="Times New Roman" w:hAnsi="Times New Roman"/>
                <w:color w:val="000000" w:themeColor="text1"/>
                <w:sz w:val="20"/>
                <w:szCs w:val="20"/>
              </w:rPr>
            </w:pPr>
            <w:r>
              <w:rPr>
                <w:rFonts w:ascii="Times New Roman" w:hAnsi="Times New Roman"/>
                <w:color w:val="000000" w:themeColor="text1"/>
                <w:sz w:val="20"/>
                <w:szCs w:val="20"/>
              </w:rPr>
              <w:t>Timing difference due to IAB-MT TA if any impact</w:t>
            </w:r>
          </w:p>
          <w:p>
            <w:pPr>
              <w:pStyle w:val="29"/>
              <w:numPr>
                <w:ilvl w:val="1"/>
                <w:numId w:val="4"/>
              </w:numPr>
              <w:adjustRightInd w:val="0"/>
              <w:snapToGrid w:val="0"/>
              <w:spacing w:after="120" w:line="240" w:lineRule="auto"/>
              <w:ind w:firstLine="400"/>
              <w:rPr>
                <w:rFonts w:ascii="Times New Roman" w:hAnsi="Times New Roman"/>
                <w:color w:val="000000" w:themeColor="text1"/>
                <w:sz w:val="20"/>
                <w:szCs w:val="20"/>
              </w:rPr>
            </w:pPr>
            <w:r>
              <w:rPr>
                <w:rFonts w:ascii="Times New Roman" w:hAnsi="Times New Roman"/>
                <w:color w:val="000000" w:themeColor="text1"/>
                <w:sz w:val="20"/>
                <w:szCs w:val="20"/>
              </w:rPr>
              <w:t>Whether simultaneous MT TX/DU RX and/or MT RX/DU TX can be removed for this scenario</w:t>
            </w:r>
          </w:p>
          <w:p>
            <w:pPr>
              <w:pStyle w:val="29"/>
              <w:numPr>
                <w:ilvl w:val="0"/>
                <w:numId w:val="4"/>
              </w:numPr>
              <w:adjustRightInd w:val="0"/>
              <w:snapToGrid w:val="0"/>
              <w:spacing w:after="120" w:line="240" w:lineRule="auto"/>
              <w:ind w:firstLine="400"/>
              <w:rPr>
                <w:color w:val="000000" w:themeColor="text1"/>
                <w:szCs w:val="24"/>
              </w:rPr>
            </w:pPr>
            <w:r>
              <w:rPr>
                <w:rFonts w:ascii="Times New Roman" w:hAnsi="Times New Roman"/>
                <w:color w:val="000000" w:themeColor="text1"/>
                <w:sz w:val="20"/>
                <w:szCs w:val="20"/>
              </w:rPr>
              <w:t>Others</w:t>
            </w:r>
          </w:p>
        </w:tc>
      </w:tr>
    </w:tbl>
    <w:p>
      <w:pPr>
        <w:pStyle w:val="29"/>
        <w:spacing w:after="80" w:line="260" w:lineRule="auto"/>
      </w:pPr>
      <w:r>
        <w:rPr>
          <w:rFonts w:hint="eastAsia" w:ascii="Times New Roman" w:hAnsi="Times New Roman"/>
          <w:bCs/>
          <w:kern w:val="0"/>
          <w:szCs w:val="21"/>
        </w:rPr>
        <w:t>We collect the Rx power in system level simulation platform. The Rx power difference between DL Rx and UL Rx of the co-located IAB-DU and IAB-MT is shown in figure 1 for 4 GHz carrier frequency. The simulation assumption is summarized in the appendix.</w:t>
      </w:r>
    </w:p>
    <w:p>
      <w:pPr>
        <w:jc w:val="center"/>
      </w:pPr>
      <w:r>
        <w:rPr>
          <w:lang w:eastAsia="zh-CN"/>
        </w:rPr>
        <w:drawing>
          <wp:inline distT="0" distB="0" distL="114300" distR="114300">
            <wp:extent cx="4050665" cy="3387090"/>
            <wp:effectExtent l="0" t="0" r="3175" b="11430"/>
            <wp:docPr id="4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7"/>
                    <pic:cNvPicPr>
                      <a:picLocks noChangeAspect="1"/>
                    </pic:cNvPicPr>
                  </pic:nvPicPr>
                  <pic:blipFill>
                    <a:blip r:embed="rId5"/>
                    <a:srcRect l="4603" t="2281" r="7748"/>
                    <a:stretch>
                      <a:fillRect/>
                    </a:stretch>
                  </pic:blipFill>
                  <pic:spPr>
                    <a:xfrm>
                      <a:off x="0" y="0"/>
                      <a:ext cx="4050665" cy="3387090"/>
                    </a:xfrm>
                    <a:prstGeom prst="rect">
                      <a:avLst/>
                    </a:prstGeom>
                    <a:noFill/>
                    <a:ln>
                      <a:noFill/>
                    </a:ln>
                  </pic:spPr>
                </pic:pic>
              </a:graphicData>
            </a:graphic>
          </wp:inline>
        </w:drawing>
      </w:r>
    </w:p>
    <w:p>
      <w:pPr>
        <w:pStyle w:val="29"/>
        <w:suppressAutoHyphens/>
        <w:spacing w:after="80" w:line="260" w:lineRule="auto"/>
        <w:ind w:firstLine="0" w:firstLineChars="0"/>
        <w:jc w:val="center"/>
        <w:rPr>
          <w:rFonts w:ascii="Times New Roman" w:hAnsi="Times New Roman"/>
          <w:b/>
          <w:bCs/>
          <w:sz w:val="20"/>
          <w:szCs w:val="20"/>
        </w:rPr>
      </w:pPr>
      <w:r>
        <w:rPr>
          <w:rFonts w:ascii="Times New Roman" w:hAnsi="Times New Roman"/>
          <w:b/>
          <w:bCs/>
          <w:sz w:val="20"/>
          <w:szCs w:val="20"/>
        </w:rPr>
        <w:t>Figure 1, Rx power difference between co-located IAB-MT and IAB-DU @4GHz</w:t>
      </w:r>
    </w:p>
    <w:p>
      <w:pPr>
        <w:pStyle w:val="29"/>
        <w:ind w:firstLine="0" w:firstLineChars="0"/>
        <w:rPr>
          <w:rFonts w:ascii="Times New Roman" w:hAnsi="Times New Roman"/>
          <w:bCs/>
          <w:kern w:val="0"/>
          <w:sz w:val="20"/>
          <w:szCs w:val="20"/>
        </w:rPr>
      </w:pPr>
      <w:r>
        <w:rPr>
          <w:rFonts w:hint="eastAsia" w:ascii="Times New Roman" w:hAnsi="Times New Roman"/>
          <w:bCs/>
          <w:kern w:val="0"/>
          <w:sz w:val="20"/>
          <w:szCs w:val="20"/>
        </w:rPr>
        <w:t>From figure 1 we can find that the difference of Rx power between child link and parent link is very large. So when one IAB performs simultaneous Rx from child node and parent node, the Rx power difference should be considered.</w:t>
      </w:r>
    </w:p>
    <w:p>
      <w:pPr>
        <w:pStyle w:val="29"/>
        <w:spacing w:after="80" w:line="260" w:lineRule="auto"/>
        <w:ind w:firstLine="0" w:firstLineChars="0"/>
        <w:rPr>
          <w:rFonts w:ascii="Times New Roman" w:hAnsi="Times New Roman"/>
          <w:bCs/>
          <w:kern w:val="0"/>
          <w:sz w:val="20"/>
          <w:szCs w:val="20"/>
        </w:rPr>
      </w:pPr>
      <w:r>
        <w:rPr>
          <w:rFonts w:hint="eastAsia" w:ascii="Times New Roman" w:hAnsi="Times New Roman"/>
          <w:b/>
          <w:kern w:val="0"/>
          <w:sz w:val="20"/>
          <w:szCs w:val="20"/>
        </w:rPr>
        <w:t>Observation 1: Based on the simulation result, the Rx power differences between parent link and child link is very large which can be seen that the CDF of 0.5 corresponds to 40dB.</w:t>
      </w:r>
    </w:p>
    <w:p>
      <w:pPr>
        <w:pStyle w:val="29"/>
        <w:suppressAutoHyphens/>
        <w:spacing w:after="80" w:line="260" w:lineRule="auto"/>
        <w:ind w:firstLine="0" w:firstLineChars="0"/>
        <w:rPr>
          <w:rFonts w:ascii="Times New Roman" w:hAnsi="Times New Roman"/>
          <w:bCs/>
          <w:kern w:val="0"/>
          <w:szCs w:val="21"/>
        </w:rPr>
      </w:pPr>
      <w:r>
        <w:rPr>
          <w:rFonts w:ascii="Times New Roman" w:hAnsi="Times New Roman"/>
          <w:bCs/>
          <w:kern w:val="0"/>
          <w:szCs w:val="21"/>
        </w:rPr>
        <w:t>To determine an appropriate</w:t>
      </w:r>
      <w:r>
        <w:rPr>
          <w:rFonts w:hint="eastAsia" w:ascii="Times New Roman" w:hAnsi="Times New Roman"/>
          <w:bCs/>
          <w:kern w:val="0"/>
          <w:szCs w:val="21"/>
        </w:rPr>
        <w:t xml:space="preserve"> level for Rx </w:t>
      </w:r>
      <w:r>
        <w:rPr>
          <w:rFonts w:ascii="Times New Roman" w:hAnsi="Times New Roman"/>
          <w:bCs/>
          <w:kern w:val="0"/>
          <w:szCs w:val="21"/>
        </w:rPr>
        <w:t xml:space="preserve">power </w:t>
      </w:r>
      <w:r>
        <w:rPr>
          <w:rFonts w:hint="eastAsia" w:ascii="Times New Roman" w:hAnsi="Times New Roman"/>
          <w:bCs/>
          <w:kern w:val="0"/>
          <w:szCs w:val="21"/>
        </w:rPr>
        <w:t>imbalance between MT and DU for simultaneous MT RX and DU RX, the BS ICS requirement could be a starting point:</w:t>
      </w:r>
    </w:p>
    <w:p>
      <w:pPr>
        <w:pStyle w:val="29"/>
        <w:ind w:firstLine="0" w:firstLineChars="0"/>
        <w:rPr>
          <w:rFonts w:ascii="Times New Roman" w:hAnsi="Times New Roman"/>
          <w:bCs/>
          <w:kern w:val="0"/>
          <w:sz w:val="20"/>
          <w:szCs w:val="20"/>
        </w:rPr>
      </w:pPr>
      <w:r>
        <w:rPr>
          <w:rFonts w:hint="eastAsia" w:ascii="Times New Roman" w:hAnsi="Times New Roman"/>
          <w:bCs/>
          <w:kern w:val="0"/>
          <w:sz w:val="20"/>
          <w:szCs w:val="20"/>
        </w:rPr>
        <w:t>FR2: e.g. around 14dBc power imbalance between interfering signal and wanted signal.</w:t>
      </w:r>
    </w:p>
    <w:p>
      <w:pPr>
        <w:pStyle w:val="29"/>
        <w:suppressAutoHyphens/>
        <w:spacing w:after="0" w:line="240" w:lineRule="auto"/>
        <w:ind w:firstLine="0" w:firstLineChars="0"/>
        <w:rPr>
          <w:rFonts w:ascii="Times New Roman" w:hAnsi="Times New Roman"/>
          <w:bCs/>
          <w:kern w:val="0"/>
          <w:sz w:val="20"/>
          <w:szCs w:val="20"/>
        </w:rPr>
      </w:pPr>
      <w:r>
        <w:rPr>
          <w:rFonts w:hint="eastAsia" w:ascii="Times New Roman" w:hAnsi="Times New Roman"/>
          <w:bCs/>
          <w:kern w:val="0"/>
          <w:sz w:val="20"/>
          <w:szCs w:val="20"/>
        </w:rPr>
        <w:t>FR1: e.g. around 25dBc power imbalance between interfering signal and wanted signal.</w:t>
      </w:r>
    </w:p>
    <w:p>
      <w:pPr>
        <w:rPr>
          <w:rFonts w:eastAsiaTheme="minorEastAsia"/>
        </w:rPr>
      </w:pPr>
      <w:r>
        <w:rPr>
          <w:rFonts w:hint="eastAsia"/>
          <w:b/>
          <w:szCs w:val="20"/>
          <w:lang w:eastAsia="zh-CN"/>
        </w:rPr>
        <w:t>Proposal 1</w:t>
      </w:r>
      <w:r>
        <w:rPr>
          <w:rFonts w:hint="eastAsia"/>
          <w:b/>
          <w:szCs w:val="20"/>
        </w:rPr>
        <w:t>:</w:t>
      </w:r>
      <w:r>
        <w:rPr>
          <w:rFonts w:hint="eastAsia"/>
          <w:b/>
          <w:szCs w:val="20"/>
          <w:lang w:eastAsia="zh-CN"/>
        </w:rPr>
        <w:t xml:space="preserve"> To use BS ICS requirement as a starting point for determining the</w:t>
      </w:r>
      <w:r>
        <w:rPr>
          <w:rFonts w:hint="eastAsia"/>
          <w:b/>
          <w:szCs w:val="20"/>
        </w:rPr>
        <w:t xml:space="preserve"> range </w:t>
      </w:r>
      <w:r>
        <w:rPr>
          <w:rFonts w:hint="eastAsia"/>
          <w:b/>
          <w:szCs w:val="20"/>
          <w:lang w:eastAsia="zh-CN"/>
        </w:rPr>
        <w:t xml:space="preserve">of Rx power imbalance </w:t>
      </w:r>
      <w:r>
        <w:rPr>
          <w:rFonts w:hint="eastAsia"/>
          <w:b/>
          <w:szCs w:val="20"/>
        </w:rPr>
        <w:t xml:space="preserve">between MT and DU </w:t>
      </w:r>
      <w:r>
        <w:rPr>
          <w:rFonts w:hint="eastAsia"/>
          <w:b/>
          <w:szCs w:val="20"/>
          <w:lang w:eastAsia="zh-CN"/>
        </w:rPr>
        <w:t>when</w:t>
      </w:r>
      <w:r>
        <w:rPr>
          <w:rFonts w:hint="eastAsia"/>
          <w:b/>
          <w:szCs w:val="20"/>
        </w:rPr>
        <w:t xml:space="preserve"> simultaneous RX </w:t>
      </w:r>
      <w:r>
        <w:rPr>
          <w:rFonts w:hint="eastAsia"/>
          <w:b/>
          <w:szCs w:val="20"/>
          <w:lang w:eastAsia="zh-CN"/>
        </w:rPr>
        <w:t>is performed</w:t>
      </w:r>
      <w:r>
        <w:rPr>
          <w:rFonts w:hint="eastAsia"/>
          <w:b/>
          <w:szCs w:val="20"/>
          <w:lang w:val="en-US" w:eastAsia="zh-CN"/>
        </w:rPr>
        <w:t xml:space="preserve"> by a shared Rx chain</w:t>
      </w:r>
      <w:r>
        <w:rPr>
          <w:rFonts w:hint="eastAsia"/>
          <w:b/>
          <w:szCs w:val="20"/>
          <w:lang w:eastAsia="zh-CN"/>
        </w:rPr>
        <w:t>.</w:t>
      </w:r>
    </w:p>
    <w:p>
      <w:pPr>
        <w:suppressAutoHyphens/>
        <w:spacing w:after="80" w:line="260" w:lineRule="auto"/>
        <w:rPr>
          <w:bCs/>
          <w:szCs w:val="21"/>
          <w:lang w:eastAsia="zh-CN"/>
        </w:rPr>
      </w:pPr>
      <w:r>
        <w:rPr>
          <w:bCs/>
          <w:szCs w:val="21"/>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after="80" w:line="260" w:lineRule="auto"/>
        <w:rPr>
          <w:rFonts w:eastAsia="宋体"/>
          <w:bCs/>
          <w:sz w:val="21"/>
          <w:szCs w:val="21"/>
          <w:lang w:eastAsia="zh-CN"/>
        </w:rPr>
      </w:pPr>
      <w:r>
        <w:rPr>
          <w:rFonts w:hint="eastAsia" w:eastAsia="宋体"/>
          <w:bCs/>
          <w:sz w:val="21"/>
          <w:szCs w:val="21"/>
          <w:lang w:eastAsia="zh-CN"/>
        </w:rPr>
        <w:t>Based on the analysis, the following observation and proposal are given:</w:t>
      </w:r>
    </w:p>
    <w:p>
      <w:pPr>
        <w:pStyle w:val="29"/>
        <w:spacing w:after="80" w:line="260" w:lineRule="auto"/>
        <w:ind w:firstLine="0" w:firstLineChars="0"/>
        <w:rPr>
          <w:rFonts w:ascii="Times New Roman" w:hAnsi="Times New Roman"/>
          <w:bCs/>
          <w:kern w:val="0"/>
          <w:sz w:val="20"/>
          <w:szCs w:val="20"/>
        </w:rPr>
      </w:pPr>
      <w:r>
        <w:rPr>
          <w:rFonts w:hint="eastAsia" w:ascii="Times New Roman" w:hAnsi="Times New Roman"/>
          <w:b/>
          <w:kern w:val="0"/>
          <w:sz w:val="20"/>
          <w:szCs w:val="20"/>
        </w:rPr>
        <w:t>Observation 1: Based on the simulation result, the Rx power differences between parent link and child link is very large which can be seen that the CDF of 0.5 corresponds to 40dB.</w:t>
      </w:r>
    </w:p>
    <w:p>
      <w:pPr>
        <w:spacing w:after="0" w:line="240" w:lineRule="auto"/>
        <w:rPr>
          <w:b/>
          <w:szCs w:val="20"/>
          <w:lang w:eastAsia="zh-CN"/>
        </w:rPr>
      </w:pPr>
      <w:r>
        <w:rPr>
          <w:rFonts w:hint="eastAsia"/>
          <w:b/>
          <w:szCs w:val="20"/>
          <w:lang w:eastAsia="zh-CN"/>
        </w:rPr>
        <w:t>Proposal 1</w:t>
      </w:r>
      <w:r>
        <w:rPr>
          <w:rFonts w:hint="eastAsia"/>
          <w:b/>
          <w:szCs w:val="20"/>
        </w:rPr>
        <w:t>:</w:t>
      </w:r>
      <w:r>
        <w:rPr>
          <w:rFonts w:hint="eastAsia"/>
          <w:b/>
          <w:szCs w:val="20"/>
          <w:lang w:eastAsia="zh-CN"/>
        </w:rPr>
        <w:t xml:space="preserve"> To use BS ICS requirement as a starting point for determining the</w:t>
      </w:r>
      <w:r>
        <w:rPr>
          <w:rFonts w:hint="eastAsia"/>
          <w:b/>
          <w:szCs w:val="20"/>
        </w:rPr>
        <w:t xml:space="preserve"> range </w:t>
      </w:r>
      <w:r>
        <w:rPr>
          <w:rFonts w:hint="eastAsia"/>
          <w:b/>
          <w:szCs w:val="20"/>
          <w:lang w:eastAsia="zh-CN"/>
        </w:rPr>
        <w:t xml:space="preserve">of Rx power imbalance </w:t>
      </w:r>
      <w:r>
        <w:rPr>
          <w:rFonts w:hint="eastAsia"/>
          <w:b/>
          <w:szCs w:val="20"/>
        </w:rPr>
        <w:t xml:space="preserve">between MT and DU </w:t>
      </w:r>
      <w:r>
        <w:rPr>
          <w:rFonts w:hint="eastAsia"/>
          <w:b/>
          <w:szCs w:val="20"/>
          <w:lang w:eastAsia="zh-CN"/>
        </w:rPr>
        <w:t>when</w:t>
      </w:r>
      <w:r>
        <w:rPr>
          <w:rFonts w:hint="eastAsia"/>
          <w:b/>
          <w:szCs w:val="20"/>
        </w:rPr>
        <w:t xml:space="preserve"> simultaneous RX </w:t>
      </w:r>
      <w:r>
        <w:rPr>
          <w:rFonts w:hint="eastAsia"/>
          <w:b/>
          <w:szCs w:val="20"/>
          <w:lang w:eastAsia="zh-CN"/>
        </w:rPr>
        <w:t>is performed</w:t>
      </w:r>
      <w:r>
        <w:rPr>
          <w:rFonts w:hint="eastAsia"/>
          <w:b/>
          <w:szCs w:val="20"/>
          <w:lang w:val="en-US" w:eastAsia="zh-CN"/>
        </w:rPr>
        <w:t xml:space="preserve"> by a shared Rx chain</w:t>
      </w:r>
      <w:r>
        <w:rPr>
          <w:rFonts w:hint="eastAsia"/>
          <w:b/>
          <w:szCs w:val="20"/>
          <w:lang w:eastAsia="zh-CN"/>
        </w:rPr>
        <w:t>.</w:t>
      </w:r>
      <w:r>
        <w:rPr>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spacing w:after="0" w:line="240" w:lineRule="auto"/>
        <w:rPr>
          <w:rFonts w:hint="eastAsia" w:eastAsiaTheme="minorEastAsia"/>
        </w:rPr>
      </w:pPr>
      <w:r>
        <w:rPr>
          <w:rFonts w:hint="eastAsia"/>
          <w:lang w:val="en-US"/>
        </w:rPr>
        <w:t>2108640 WF on simultaneous operating and timing case#6/7 for enhanced IAB</w:t>
      </w:r>
      <w:r>
        <w:rPr>
          <w:lang w:val="en-US"/>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Appendix</w:t>
      </w:r>
    </w:p>
    <w:p>
      <w:pPr>
        <w:adjustRightInd w:val="0"/>
        <w:snapToGrid w:val="0"/>
        <w:spacing w:after="0" w:line="240" w:lineRule="auto"/>
        <w:jc w:val="center"/>
        <w:rPr>
          <w:sz w:val="16"/>
          <w:szCs w:val="16"/>
          <w:lang w:eastAsia="zh-CN"/>
        </w:rPr>
      </w:pPr>
      <w:r>
        <w:rPr>
          <w:sz w:val="16"/>
          <w:szCs w:val="16"/>
          <w:lang w:eastAsia="zh-CN"/>
        </w:rPr>
        <w:t>Table1 System simulation assumption</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5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2" w:hRule="atLeast"/>
          <w:jc w:val="center"/>
        </w:trPr>
        <w:tc>
          <w:tcPr>
            <w:tcW w:w="2840" w:type="dxa"/>
            <w:noWrap/>
          </w:tcPr>
          <w:p>
            <w:pPr>
              <w:adjustRightInd w:val="0"/>
              <w:snapToGrid w:val="0"/>
              <w:spacing w:before="40" w:after="40" w:line="240" w:lineRule="auto"/>
              <w:rPr>
                <w:sz w:val="16"/>
                <w:szCs w:val="16"/>
                <w:lang w:eastAsia="ja-JP"/>
              </w:rPr>
            </w:pPr>
            <w:r>
              <w:rPr>
                <w:bCs/>
                <w:sz w:val="16"/>
                <w:szCs w:val="16"/>
                <w:lang w:eastAsia="zh-CN"/>
              </w:rPr>
              <w:t>Deployment scenario</w:t>
            </w:r>
          </w:p>
        </w:tc>
        <w:tc>
          <w:tcPr>
            <w:tcW w:w="5682" w:type="dxa"/>
            <w:noWrap/>
          </w:tcPr>
          <w:p>
            <w:pPr>
              <w:adjustRightInd w:val="0"/>
              <w:snapToGrid w:val="0"/>
              <w:spacing w:before="40" w:after="40" w:line="240" w:lineRule="auto"/>
              <w:rPr>
                <w:sz w:val="16"/>
                <w:szCs w:val="16"/>
                <w:lang w:eastAsia="ja-JP"/>
              </w:rPr>
            </w:pPr>
            <w:r>
              <w:rPr>
                <w:sz w:val="16"/>
                <w:szCs w:val="16"/>
                <w:lang w:eastAsia="ja-JP"/>
              </w:rPr>
              <w:t>Heterogeneous scenario (dense urban), 7 cells, 3 sectors/cell</w:t>
            </w:r>
          </w:p>
          <w:p>
            <w:pPr>
              <w:adjustRightInd w:val="0"/>
              <w:snapToGrid w:val="0"/>
              <w:spacing w:after="0" w:line="240" w:lineRule="auto"/>
              <w:rPr>
                <w:sz w:val="16"/>
                <w:szCs w:val="16"/>
                <w:lang w:eastAsia="zh-CN"/>
              </w:rPr>
            </w:pPr>
            <w:r>
              <w:rPr>
                <w:sz w:val="16"/>
                <w:szCs w:val="16"/>
                <w:lang w:eastAsia="zh-CN"/>
              </w:rPr>
              <w:t>Two layer</w:t>
            </w:r>
          </w:p>
          <w:p>
            <w:pPr>
              <w:adjustRightInd w:val="0"/>
              <w:snapToGrid w:val="0"/>
              <w:spacing w:after="0" w:line="240" w:lineRule="auto"/>
              <w:rPr>
                <w:sz w:val="16"/>
                <w:szCs w:val="16"/>
                <w:lang w:eastAsia="zh-CN"/>
              </w:rPr>
            </w:pPr>
            <w:r>
              <w:rPr>
                <w:sz w:val="16"/>
                <w:szCs w:val="16"/>
                <w:lang w:eastAsia="zh-CN"/>
              </w:rPr>
              <w:t>Macro layer: Hex. Grid (all macro BSs are IAB-donors)</w:t>
            </w:r>
          </w:p>
          <w:p>
            <w:pPr>
              <w:adjustRightInd w:val="0"/>
              <w:snapToGrid w:val="0"/>
              <w:spacing w:after="0" w:line="240" w:lineRule="auto"/>
              <w:rPr>
                <w:sz w:val="16"/>
                <w:szCs w:val="16"/>
                <w:lang w:eastAsia="zh-CN"/>
              </w:rPr>
            </w:pPr>
            <w:r>
              <w:rPr>
                <w:sz w:val="16"/>
                <w:szCs w:val="16"/>
                <w:lang w:eastAsia="zh-CN"/>
              </w:rPr>
              <w:t>7 sites</w:t>
            </w:r>
          </w:p>
          <w:p>
            <w:pPr>
              <w:adjustRightInd w:val="0"/>
              <w:snapToGrid w:val="0"/>
              <w:spacing w:after="0" w:line="240" w:lineRule="auto"/>
              <w:rPr>
                <w:sz w:val="16"/>
                <w:szCs w:val="16"/>
                <w:lang w:eastAsia="zh-CN"/>
              </w:rPr>
            </w:pPr>
            <w:r>
              <w:rPr>
                <w:sz w:val="16"/>
                <w:szCs w:val="16"/>
                <w:lang w:eastAsia="zh-CN"/>
              </w:rPr>
              <w:t>Micro layer: Random drop (All micro BSs are all outdoor and are IAB-nodes)</w:t>
            </w:r>
          </w:p>
          <w:p>
            <w:pPr>
              <w:adjustRightInd w:val="0"/>
              <w:snapToGrid w:val="0"/>
              <w:spacing w:after="0" w:line="240" w:lineRule="auto"/>
              <w:rPr>
                <w:sz w:val="16"/>
                <w:szCs w:val="16"/>
                <w:lang w:eastAsia="zh-CN"/>
              </w:rPr>
            </w:pPr>
            <w:r>
              <w:rPr>
                <w:sz w:val="16"/>
                <w:szCs w:val="16"/>
                <w:lang w:eastAsia="zh-CN"/>
              </w:rPr>
              <w:t>- 3 micro BSs per macro BS</w:t>
            </w:r>
          </w:p>
          <w:p>
            <w:pPr>
              <w:adjustRightInd w:val="0"/>
              <w:snapToGrid w:val="0"/>
              <w:spacing w:after="0" w:line="240" w:lineRule="auto"/>
              <w:rPr>
                <w:sz w:val="16"/>
                <w:szCs w:val="16"/>
                <w:lang w:eastAsia="zh-CN"/>
              </w:rPr>
            </w:pPr>
            <w:r>
              <w:rPr>
                <w:sz w:val="16"/>
                <w:szCs w:val="16"/>
                <w:lang w:eastAsia="zh-CN"/>
              </w:rPr>
              <w:t>See Figures A.2.1-3 of TR 38.802</w:t>
            </w:r>
          </w:p>
          <w:p>
            <w:pPr>
              <w:adjustRightInd w:val="0"/>
              <w:snapToGrid w:val="0"/>
              <w:spacing w:after="0" w:line="240" w:lineRule="auto"/>
              <w:rPr>
                <w:sz w:val="16"/>
                <w:szCs w:val="16"/>
                <w:lang w:eastAsia="zh-CN"/>
              </w:rPr>
            </w:pPr>
          </w:p>
          <w:p>
            <w:pPr>
              <w:adjustRightInd w:val="0"/>
              <w:snapToGrid w:val="0"/>
              <w:spacing w:after="0" w:line="240" w:lineRule="auto"/>
              <w:rPr>
                <w:sz w:val="16"/>
                <w:szCs w:val="16"/>
                <w:lang w:eastAsia="zh-CN"/>
              </w:rPr>
            </w:pPr>
            <w:r>
              <w:rPr>
                <w:sz w:val="16"/>
                <w:szCs w:val="16"/>
                <w:lang w:eastAsia="zh-CN"/>
              </w:rPr>
              <w:t xml:space="preserve">IAB-node is assumed to have 3 panels with 120 degree shift relative to each other. </w:t>
            </w:r>
          </w:p>
          <w:p>
            <w:pPr>
              <w:adjustRightInd w:val="0"/>
              <w:snapToGrid w:val="0"/>
              <w:spacing w:after="0" w:line="240" w:lineRule="auto"/>
              <w:rPr>
                <w:sz w:val="16"/>
                <w:szCs w:val="16"/>
                <w:lang w:eastAsia="zh-CN"/>
              </w:rPr>
            </w:pPr>
            <w:r>
              <w:rPr>
                <w:sz w:val="16"/>
                <w:szCs w:val="16"/>
                <w:lang w:eastAsia="zh-CN"/>
              </w:rPr>
              <w:t>orientation options:</w:t>
            </w:r>
          </w:p>
          <w:p>
            <w:pPr>
              <w:adjustRightInd w:val="0"/>
              <w:snapToGrid w:val="0"/>
              <w:spacing w:after="0" w:line="240" w:lineRule="auto"/>
              <w:rPr>
                <w:sz w:val="16"/>
                <w:szCs w:val="16"/>
                <w:lang w:eastAsia="zh-CN"/>
              </w:rPr>
            </w:pPr>
            <w:r>
              <w:rPr>
                <w:sz w:val="16"/>
                <w:szCs w:val="16"/>
                <w:lang w:eastAsia="zh-CN"/>
              </w:rPr>
              <w:t>Option 2: Random orientation (independent of topology)</w:t>
            </w:r>
          </w:p>
          <w:p>
            <w:pPr>
              <w:adjustRightInd w:val="0"/>
              <w:snapToGrid w:val="0"/>
              <w:spacing w:after="0" w:line="240" w:lineRule="auto"/>
              <w:rPr>
                <w:sz w:val="16"/>
                <w:szCs w:val="16"/>
                <w:lang w:eastAsia="ja-JP"/>
              </w:rPr>
            </w:pPr>
            <w:r>
              <w:rPr>
                <w:sz w:val="16"/>
                <w:szCs w:val="16"/>
                <w:lang w:eastAsia="zh-CN"/>
              </w:rPr>
              <w:t>Panel orientation is assumed fixed for a simulation run.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adjustRightInd w:val="0"/>
              <w:snapToGrid w:val="0"/>
              <w:spacing w:before="40" w:after="40" w:line="240" w:lineRule="auto"/>
              <w:rPr>
                <w:sz w:val="16"/>
                <w:szCs w:val="16"/>
                <w:lang w:eastAsia="zh-CN"/>
              </w:rPr>
            </w:pPr>
            <w:r>
              <w:rPr>
                <w:sz w:val="16"/>
                <w:szCs w:val="16"/>
                <w:lang w:eastAsia="zh-CN"/>
              </w:rPr>
              <w:t>Frequency</w:t>
            </w:r>
          </w:p>
        </w:tc>
        <w:tc>
          <w:tcPr>
            <w:tcW w:w="5682" w:type="dxa"/>
            <w:noWrap/>
          </w:tcPr>
          <w:p>
            <w:pPr>
              <w:adjustRightInd w:val="0"/>
              <w:snapToGrid w:val="0"/>
              <w:spacing w:before="40" w:after="40" w:line="240" w:lineRule="auto"/>
              <w:rPr>
                <w:sz w:val="16"/>
                <w:szCs w:val="16"/>
                <w:lang w:eastAsia="zh-CN"/>
              </w:rPr>
            </w:pPr>
            <w:r>
              <w:rPr>
                <w:sz w:val="16"/>
                <w:szCs w:val="16"/>
                <w:lang w:eastAsia="zh-CN"/>
              </w:rPr>
              <w:t>4GHz, 30GHz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adjustRightInd w:val="0"/>
              <w:snapToGrid w:val="0"/>
              <w:spacing w:before="40" w:after="40" w:line="240" w:lineRule="auto"/>
              <w:rPr>
                <w:sz w:val="16"/>
                <w:szCs w:val="16"/>
                <w:lang w:eastAsia="ja-JP"/>
              </w:rPr>
            </w:pPr>
            <w:r>
              <w:rPr>
                <w:sz w:val="16"/>
                <w:szCs w:val="16"/>
                <w:lang w:eastAsia="zh-CN"/>
              </w:rPr>
              <w:t>A</w:t>
            </w:r>
            <w:r>
              <w:rPr>
                <w:sz w:val="16"/>
                <w:szCs w:val="16"/>
                <w:lang w:eastAsia="ja-JP"/>
              </w:rPr>
              <w:t>ntenna configurations</w:t>
            </w:r>
          </w:p>
          <w:p>
            <w:pPr>
              <w:adjustRightInd w:val="0"/>
              <w:snapToGrid w:val="0"/>
              <w:spacing w:before="40" w:after="40" w:line="240" w:lineRule="auto"/>
              <w:rPr>
                <w:sz w:val="16"/>
                <w:szCs w:val="16"/>
                <w:lang w:eastAsia="zh-CN"/>
              </w:rPr>
            </w:pPr>
            <w:r>
              <w:rPr>
                <w:sz w:val="16"/>
                <w:szCs w:val="16"/>
                <w:lang w:eastAsia="zh-CN"/>
              </w:rPr>
              <w:t>[M,N,P,Mg,Ng]</w:t>
            </w:r>
          </w:p>
        </w:tc>
        <w:tc>
          <w:tcPr>
            <w:tcW w:w="5682" w:type="dxa"/>
            <w:noWrap/>
          </w:tcPr>
          <w:p>
            <w:pPr>
              <w:adjustRightInd w:val="0"/>
              <w:snapToGrid w:val="0"/>
              <w:spacing w:before="40" w:after="40" w:line="240" w:lineRule="auto"/>
              <w:rPr>
                <w:sz w:val="16"/>
                <w:szCs w:val="16"/>
                <w:lang w:eastAsia="zh-CN"/>
              </w:rPr>
            </w:pPr>
            <w:r>
              <w:rPr>
                <w:sz w:val="16"/>
                <w:szCs w:val="16"/>
                <w:lang w:eastAsia="zh-CN"/>
              </w:rPr>
              <w:t>gNB [8,4,2,1,1]</w:t>
            </w:r>
          </w:p>
          <w:p>
            <w:pPr>
              <w:adjustRightInd w:val="0"/>
              <w:snapToGrid w:val="0"/>
              <w:spacing w:before="40" w:after="40" w:line="240" w:lineRule="auto"/>
              <w:rPr>
                <w:sz w:val="16"/>
                <w:szCs w:val="16"/>
                <w:lang w:eastAsia="zh-CN"/>
              </w:rPr>
            </w:pPr>
            <w:r>
              <w:rPr>
                <w:sz w:val="16"/>
                <w:szCs w:val="16"/>
                <w:lang w:eastAsia="zh-CN"/>
              </w:rPr>
              <w:t>IAB [8,4,2,1,1]</w:t>
            </w:r>
          </w:p>
          <w:p>
            <w:pPr>
              <w:adjustRightInd w:val="0"/>
              <w:snapToGrid w:val="0"/>
              <w:spacing w:before="40" w:after="40" w:line="240" w:lineRule="auto"/>
              <w:rPr>
                <w:sz w:val="16"/>
                <w:szCs w:val="16"/>
                <w:lang w:eastAsia="zh-CN"/>
              </w:rPr>
            </w:pPr>
            <w:r>
              <w:rPr>
                <w:sz w:val="16"/>
                <w:szCs w:val="16"/>
                <w:lang w:eastAsia="zh-CN"/>
              </w:rPr>
              <w:t>UE [2,2,2,1,2]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840" w:type="dxa"/>
            <w:noWrap/>
          </w:tcPr>
          <w:p>
            <w:pPr>
              <w:pStyle w:val="36"/>
              <w:adjustRightInd w:val="0"/>
              <w:snapToGrid w:val="0"/>
              <w:spacing w:line="240" w:lineRule="auto"/>
              <w:rPr>
                <w:rFonts w:ascii="Times New Roman" w:hAnsi="Times New Roman"/>
                <w:sz w:val="16"/>
                <w:szCs w:val="16"/>
                <w:lang w:val="en-US" w:eastAsia="zh-CN"/>
              </w:rPr>
            </w:pPr>
            <w:r>
              <w:rPr>
                <w:rFonts w:ascii="Times New Roman" w:hAnsi="Times New Roman"/>
                <w:sz w:val="16"/>
                <w:szCs w:val="16"/>
                <w:lang w:eastAsia="ja-JP"/>
              </w:rPr>
              <w:t>BS antenna element gain + connector loss</w:t>
            </w:r>
          </w:p>
        </w:tc>
        <w:tc>
          <w:tcPr>
            <w:tcW w:w="5682" w:type="dxa"/>
            <w:noWrap/>
          </w:tcPr>
          <w:p>
            <w:pPr>
              <w:pStyle w:val="36"/>
              <w:adjustRightInd w:val="0"/>
              <w:snapToGrid w:val="0"/>
              <w:spacing w:line="240" w:lineRule="auto"/>
              <w:rPr>
                <w:rFonts w:ascii="Times New Roman" w:hAnsi="Times New Roman"/>
                <w:sz w:val="16"/>
                <w:szCs w:val="16"/>
                <w:lang w:val="en-US" w:eastAsia="zh-CN"/>
              </w:rPr>
            </w:pPr>
            <w:r>
              <w:rPr>
                <w:rFonts w:ascii="Times New Roman" w:hAnsi="Times New Roman"/>
                <w:sz w:val="16"/>
                <w:szCs w:val="16"/>
                <w:lang w:eastAsia="ja-JP"/>
              </w:rPr>
              <w:t>See Table A.2.1-4 of TR38.802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pStyle w:val="36"/>
              <w:adjustRightInd w:val="0"/>
              <w:snapToGrid w:val="0"/>
              <w:spacing w:line="240" w:lineRule="auto"/>
              <w:rPr>
                <w:rFonts w:ascii="Times New Roman" w:hAnsi="Times New Roman"/>
                <w:color w:val="000000"/>
                <w:sz w:val="16"/>
                <w:szCs w:val="16"/>
                <w:lang w:eastAsia="ja-JP"/>
              </w:rPr>
            </w:pPr>
            <w:r>
              <w:rPr>
                <w:rFonts w:ascii="Times New Roman" w:hAnsi="Times New Roman"/>
                <w:sz w:val="16"/>
                <w:szCs w:val="16"/>
                <w:lang w:eastAsia="ja-JP"/>
              </w:rPr>
              <w:t>UE antenna gain</w:t>
            </w:r>
          </w:p>
        </w:tc>
        <w:tc>
          <w:tcPr>
            <w:tcW w:w="5682" w:type="dxa"/>
            <w:noWrap/>
          </w:tcPr>
          <w:p>
            <w:pPr>
              <w:pStyle w:val="36"/>
              <w:adjustRightInd w:val="0"/>
              <w:snapToGrid w:val="0"/>
              <w:spacing w:line="240" w:lineRule="auto"/>
              <w:rPr>
                <w:rFonts w:ascii="Times New Roman" w:hAnsi="Times New Roman"/>
                <w:sz w:val="16"/>
                <w:szCs w:val="16"/>
                <w:lang w:eastAsia="ja-JP"/>
              </w:rPr>
            </w:pPr>
            <w:r>
              <w:rPr>
                <w:rFonts w:ascii="Times New Roman" w:hAnsi="Times New Roman"/>
                <w:sz w:val="16"/>
                <w:szCs w:val="16"/>
                <w:lang w:eastAsia="ja-JP"/>
              </w:rPr>
              <w:t>Follow the modeling of TR36.873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pStyle w:val="36"/>
              <w:adjustRightInd w:val="0"/>
              <w:snapToGrid w:val="0"/>
              <w:spacing w:line="240" w:lineRule="auto"/>
              <w:rPr>
                <w:rFonts w:ascii="Times New Roman" w:hAnsi="Times New Roman"/>
                <w:sz w:val="16"/>
                <w:szCs w:val="16"/>
                <w:lang w:eastAsia="ja-JP"/>
              </w:rPr>
            </w:pPr>
            <w:r>
              <w:rPr>
                <w:rFonts w:ascii="Times New Roman" w:hAnsi="Times New Roman"/>
                <w:sz w:val="16"/>
                <w:szCs w:val="16"/>
                <w:lang w:eastAsia="ja-JP"/>
              </w:rPr>
              <w:t>BS receiver noise figure</w:t>
            </w:r>
          </w:p>
        </w:tc>
        <w:tc>
          <w:tcPr>
            <w:tcW w:w="5682" w:type="dxa"/>
            <w:noWrap/>
          </w:tcPr>
          <w:p>
            <w:pPr>
              <w:pStyle w:val="36"/>
              <w:adjustRightInd w:val="0"/>
              <w:snapToGrid w:val="0"/>
              <w:spacing w:line="240" w:lineRule="auto"/>
              <w:rPr>
                <w:rFonts w:ascii="Times New Roman" w:hAnsi="Times New Roman"/>
                <w:sz w:val="16"/>
                <w:szCs w:val="16"/>
                <w:lang w:eastAsia="ja-JP"/>
              </w:rPr>
            </w:pPr>
            <w:r>
              <w:rPr>
                <w:rFonts w:ascii="Times New Roman" w:hAnsi="Times New Roman"/>
                <w:sz w:val="16"/>
                <w:szCs w:val="16"/>
                <w:lang w:eastAsia="ja-JP"/>
              </w:rPr>
              <w:t>Below 6GHz: 5dB</w:t>
            </w:r>
          </w:p>
          <w:p>
            <w:pPr>
              <w:pStyle w:val="36"/>
              <w:adjustRightInd w:val="0"/>
              <w:snapToGrid w:val="0"/>
              <w:spacing w:line="240" w:lineRule="auto"/>
              <w:rPr>
                <w:rFonts w:ascii="Times New Roman" w:hAnsi="Times New Roman"/>
                <w:sz w:val="16"/>
                <w:szCs w:val="16"/>
                <w:lang w:eastAsia="ja-JP"/>
              </w:rPr>
            </w:pPr>
            <w:r>
              <w:rPr>
                <w:rFonts w:ascii="Times New Roman" w:hAnsi="Times New Roman"/>
                <w:sz w:val="16"/>
                <w:szCs w:val="16"/>
                <w:lang w:eastAsia="ja-JP"/>
              </w:rPr>
              <w:t>Above 6GHz: 7dB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pStyle w:val="36"/>
              <w:adjustRightInd w:val="0"/>
              <w:snapToGrid w:val="0"/>
              <w:spacing w:line="240" w:lineRule="auto"/>
              <w:rPr>
                <w:rFonts w:ascii="Times New Roman" w:hAnsi="Times New Roman"/>
                <w:sz w:val="16"/>
                <w:szCs w:val="16"/>
                <w:lang w:eastAsia="ja-JP"/>
              </w:rPr>
            </w:pPr>
            <w:r>
              <w:rPr>
                <w:rFonts w:ascii="Times New Roman" w:hAnsi="Times New Roman"/>
                <w:sz w:val="16"/>
                <w:szCs w:val="16"/>
                <w:lang w:eastAsia="ja-JP"/>
              </w:rPr>
              <w:t>UE receiver noise figure</w:t>
            </w:r>
          </w:p>
        </w:tc>
        <w:tc>
          <w:tcPr>
            <w:tcW w:w="5682" w:type="dxa"/>
            <w:noWrap/>
          </w:tcPr>
          <w:p>
            <w:pPr>
              <w:pStyle w:val="36"/>
              <w:adjustRightInd w:val="0"/>
              <w:snapToGrid w:val="0"/>
              <w:spacing w:line="240" w:lineRule="auto"/>
              <w:rPr>
                <w:rFonts w:ascii="Times New Roman" w:hAnsi="Times New Roman"/>
                <w:sz w:val="16"/>
                <w:szCs w:val="16"/>
                <w:lang w:eastAsia="ja-JP"/>
              </w:rPr>
            </w:pPr>
            <w:r>
              <w:rPr>
                <w:rFonts w:ascii="Times New Roman" w:hAnsi="Times New Roman"/>
                <w:sz w:val="16"/>
                <w:szCs w:val="16"/>
                <w:lang w:eastAsia="ja-JP"/>
              </w:rPr>
              <w:t>Below 6GHz: 9dB</w:t>
            </w:r>
            <w:r>
              <w:rPr>
                <w:rFonts w:ascii="Times New Roman" w:hAnsi="Times New Roman"/>
                <w:sz w:val="16"/>
                <w:szCs w:val="16"/>
                <w:lang w:eastAsia="ja-JP"/>
              </w:rPr>
              <w:br w:type="textWrapping"/>
            </w:r>
            <w:r>
              <w:rPr>
                <w:rFonts w:ascii="Times New Roman" w:hAnsi="Times New Roman"/>
                <w:sz w:val="16"/>
                <w:szCs w:val="16"/>
                <w:lang w:eastAsia="ja-JP"/>
              </w:rPr>
              <w:t>Above 6GHz: 13dB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pStyle w:val="36"/>
              <w:adjustRightInd w:val="0"/>
              <w:snapToGrid w:val="0"/>
              <w:spacing w:line="240" w:lineRule="auto"/>
              <w:rPr>
                <w:rFonts w:ascii="Times New Roman" w:hAnsi="Times New Roman"/>
                <w:sz w:val="16"/>
                <w:szCs w:val="16"/>
                <w:lang w:eastAsia="ja-JP"/>
              </w:rPr>
            </w:pPr>
            <w:r>
              <w:rPr>
                <w:rFonts w:ascii="Times New Roman" w:hAnsi="Times New Roman"/>
                <w:sz w:val="16"/>
                <w:szCs w:val="16"/>
                <w:lang w:eastAsia="ja-JP"/>
              </w:rPr>
              <w:t xml:space="preserve">BS antenna height </w:t>
            </w:r>
          </w:p>
        </w:tc>
        <w:tc>
          <w:tcPr>
            <w:tcW w:w="5682" w:type="dxa"/>
            <w:noWrap/>
          </w:tcPr>
          <w:p>
            <w:pPr>
              <w:pStyle w:val="36"/>
              <w:adjustRightInd w:val="0"/>
              <w:snapToGrid w:val="0"/>
              <w:spacing w:line="240" w:lineRule="auto"/>
              <w:rPr>
                <w:rFonts w:ascii="Times New Roman" w:hAnsi="Times New Roman"/>
                <w:sz w:val="16"/>
                <w:szCs w:val="16"/>
                <w:lang w:eastAsia="ja-JP"/>
              </w:rPr>
            </w:pPr>
            <w:r>
              <w:rPr>
                <w:rFonts w:ascii="Times New Roman" w:hAnsi="Times New Roman"/>
                <w:sz w:val="16"/>
                <w:szCs w:val="16"/>
                <w:lang w:val="en-US" w:eastAsia="zh-CN"/>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pStyle w:val="36"/>
              <w:adjustRightInd w:val="0"/>
              <w:snapToGrid w:val="0"/>
              <w:spacing w:line="240" w:lineRule="auto"/>
              <w:rPr>
                <w:rFonts w:ascii="Times New Roman" w:hAnsi="Times New Roman"/>
                <w:color w:val="000000"/>
                <w:sz w:val="16"/>
                <w:szCs w:val="16"/>
                <w:lang w:eastAsia="ja-JP"/>
              </w:rPr>
            </w:pPr>
            <w:r>
              <w:rPr>
                <w:rFonts w:ascii="Times New Roman" w:hAnsi="Times New Roman"/>
                <w:sz w:val="16"/>
                <w:szCs w:val="16"/>
                <w:lang w:eastAsia="ja-JP"/>
              </w:rPr>
              <w:t>UE antenna height</w:t>
            </w:r>
          </w:p>
        </w:tc>
        <w:tc>
          <w:tcPr>
            <w:tcW w:w="5682" w:type="dxa"/>
            <w:noWrap/>
          </w:tcPr>
          <w:p>
            <w:pPr>
              <w:pStyle w:val="36"/>
              <w:adjustRightInd w:val="0"/>
              <w:snapToGrid w:val="0"/>
              <w:spacing w:line="240" w:lineRule="auto"/>
              <w:rPr>
                <w:rFonts w:ascii="Times New Roman" w:hAnsi="Times New Roman"/>
                <w:sz w:val="16"/>
                <w:szCs w:val="16"/>
                <w:lang w:eastAsia="ja-JP"/>
              </w:rPr>
            </w:pPr>
            <w:r>
              <w:rPr>
                <w:rFonts w:ascii="Times New Roman" w:hAnsi="Times New Roman"/>
                <w:sz w:val="16"/>
                <w:szCs w:val="16"/>
                <w:lang w:val="en-US"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adjustRightInd w:val="0"/>
              <w:snapToGrid w:val="0"/>
              <w:spacing w:before="40" w:after="40" w:line="240" w:lineRule="auto"/>
              <w:rPr>
                <w:sz w:val="16"/>
                <w:szCs w:val="16"/>
                <w:lang w:eastAsia="zh-CN"/>
              </w:rPr>
            </w:pPr>
            <w:r>
              <w:rPr>
                <w:sz w:val="16"/>
                <w:szCs w:val="16"/>
                <w:lang w:eastAsia="zh-CN"/>
              </w:rPr>
              <w:t xml:space="preserve">ISD </w:t>
            </w:r>
          </w:p>
        </w:tc>
        <w:tc>
          <w:tcPr>
            <w:tcW w:w="5682" w:type="dxa"/>
            <w:noWrap/>
          </w:tcPr>
          <w:p>
            <w:pPr>
              <w:adjustRightInd w:val="0"/>
              <w:snapToGrid w:val="0"/>
              <w:spacing w:before="40" w:after="40" w:line="240" w:lineRule="auto"/>
              <w:rPr>
                <w:sz w:val="16"/>
                <w:szCs w:val="16"/>
                <w:lang w:eastAsia="zh-CN"/>
              </w:rPr>
            </w:pPr>
            <w:r>
              <w:rPr>
                <w:sz w:val="16"/>
                <w:szCs w:val="16"/>
                <w:lang w:eastAsia="zh-CN"/>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adjustRightInd w:val="0"/>
              <w:snapToGrid w:val="0"/>
              <w:spacing w:before="40" w:after="40" w:line="240" w:lineRule="auto"/>
              <w:rPr>
                <w:sz w:val="16"/>
                <w:szCs w:val="16"/>
                <w:lang w:eastAsia="zh-CN"/>
              </w:rPr>
            </w:pPr>
            <w:r>
              <w:rPr>
                <w:sz w:val="16"/>
                <w:szCs w:val="16"/>
                <w:lang w:eastAsia="zh-CN"/>
              </w:rPr>
              <w:t>BS and UE Power</w:t>
            </w:r>
          </w:p>
        </w:tc>
        <w:tc>
          <w:tcPr>
            <w:tcW w:w="5682" w:type="dxa"/>
            <w:noWrap/>
          </w:tcPr>
          <w:p>
            <w:pPr>
              <w:adjustRightInd w:val="0"/>
              <w:snapToGrid w:val="0"/>
              <w:spacing w:before="40" w:after="40" w:line="240" w:lineRule="auto"/>
              <w:rPr>
                <w:sz w:val="16"/>
                <w:szCs w:val="16"/>
                <w:lang w:eastAsia="zh-CN"/>
              </w:rPr>
            </w:pPr>
            <w:r>
              <w:rPr>
                <w:sz w:val="16"/>
                <w:szCs w:val="16"/>
                <w:lang w:eastAsia="zh-CN"/>
              </w:rPr>
              <w:t>Macro：44dbm for 4G</w:t>
            </w:r>
          </w:p>
          <w:p>
            <w:pPr>
              <w:adjustRightInd w:val="0"/>
              <w:snapToGrid w:val="0"/>
              <w:spacing w:before="40" w:after="40" w:line="240" w:lineRule="auto"/>
              <w:rPr>
                <w:sz w:val="16"/>
                <w:szCs w:val="16"/>
                <w:lang w:eastAsia="zh-CN"/>
              </w:rPr>
            </w:pPr>
            <w:r>
              <w:rPr>
                <w:sz w:val="16"/>
                <w:szCs w:val="16"/>
                <w:lang w:eastAsia="zh-CN"/>
              </w:rPr>
              <w:t>Micro：33dbm</w:t>
            </w:r>
          </w:p>
          <w:p>
            <w:pPr>
              <w:adjustRightInd w:val="0"/>
              <w:snapToGrid w:val="0"/>
              <w:spacing w:before="40" w:after="40" w:line="240" w:lineRule="auto"/>
              <w:rPr>
                <w:sz w:val="16"/>
                <w:szCs w:val="16"/>
                <w:lang w:eastAsia="zh-CN"/>
              </w:rPr>
            </w:pPr>
            <w:r>
              <w:rPr>
                <w:sz w:val="16"/>
                <w:szCs w:val="16"/>
                <w:lang w:eastAsia="zh-CN"/>
              </w:rPr>
              <w:t>UE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adjustRightInd w:val="0"/>
              <w:snapToGrid w:val="0"/>
              <w:spacing w:before="40" w:after="40" w:line="240" w:lineRule="auto"/>
              <w:rPr>
                <w:sz w:val="16"/>
                <w:szCs w:val="16"/>
                <w:lang w:eastAsia="zh-CN"/>
              </w:rPr>
            </w:pPr>
            <w:r>
              <w:rPr>
                <w:sz w:val="16"/>
                <w:szCs w:val="16"/>
                <w:lang w:eastAsia="zh-CN"/>
              </w:rPr>
              <w:t>IAB node topology formation</w:t>
            </w:r>
          </w:p>
        </w:tc>
        <w:tc>
          <w:tcPr>
            <w:tcW w:w="5682" w:type="dxa"/>
            <w:noWrap/>
          </w:tcPr>
          <w:p>
            <w:pPr>
              <w:adjustRightInd w:val="0"/>
              <w:snapToGrid w:val="0"/>
              <w:spacing w:before="40" w:after="40" w:line="240" w:lineRule="auto"/>
              <w:rPr>
                <w:sz w:val="16"/>
                <w:szCs w:val="16"/>
                <w:lang w:eastAsia="zh-CN"/>
              </w:rPr>
            </w:pPr>
            <w:r>
              <w:rPr>
                <w:sz w:val="16"/>
                <w:szCs w:val="16"/>
                <w:lang w:eastAsia="zh-CN"/>
              </w:rPr>
              <w:t>Based on 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adjustRightInd w:val="0"/>
              <w:snapToGrid w:val="0"/>
              <w:spacing w:before="40" w:after="40" w:line="240" w:lineRule="auto"/>
              <w:rPr>
                <w:sz w:val="16"/>
                <w:szCs w:val="16"/>
                <w:lang w:eastAsia="zh-CN"/>
              </w:rPr>
            </w:pPr>
            <w:r>
              <w:rPr>
                <w:sz w:val="16"/>
                <w:szCs w:val="16"/>
                <w:lang w:eastAsia="zh-CN"/>
              </w:rPr>
              <w:t>Number of UE per macro sector</w:t>
            </w:r>
          </w:p>
        </w:tc>
        <w:tc>
          <w:tcPr>
            <w:tcW w:w="5682" w:type="dxa"/>
            <w:noWrap/>
          </w:tcPr>
          <w:p>
            <w:pPr>
              <w:adjustRightInd w:val="0"/>
              <w:snapToGrid w:val="0"/>
              <w:spacing w:before="40" w:after="40" w:line="240" w:lineRule="auto"/>
              <w:rPr>
                <w:sz w:val="16"/>
                <w:szCs w:val="16"/>
                <w:lang w:eastAsia="zh-CN"/>
              </w:rPr>
            </w:pPr>
            <w:r>
              <w:rPr>
                <w:sz w:val="16"/>
                <w:szCs w:val="16"/>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noWrap/>
          </w:tcPr>
          <w:p>
            <w:pPr>
              <w:adjustRightInd w:val="0"/>
              <w:snapToGrid w:val="0"/>
              <w:spacing w:before="40" w:after="40" w:line="240" w:lineRule="auto"/>
              <w:rPr>
                <w:sz w:val="16"/>
                <w:szCs w:val="16"/>
                <w:lang w:eastAsia="zh-CN"/>
              </w:rPr>
            </w:pPr>
            <w:r>
              <w:rPr>
                <w:sz w:val="16"/>
                <w:szCs w:val="16"/>
                <w:lang w:eastAsia="zh-CN"/>
              </w:rPr>
              <w:t>Min Distance</w:t>
            </w:r>
          </w:p>
        </w:tc>
        <w:tc>
          <w:tcPr>
            <w:tcW w:w="5682" w:type="dxa"/>
            <w:noWrap/>
          </w:tcPr>
          <w:p>
            <w:pPr>
              <w:adjustRightInd w:val="0"/>
              <w:snapToGrid w:val="0"/>
              <w:spacing w:before="40" w:after="40" w:line="240" w:lineRule="auto"/>
              <w:rPr>
                <w:sz w:val="16"/>
                <w:szCs w:val="16"/>
                <w:lang w:eastAsia="zh-CN"/>
              </w:rPr>
            </w:pPr>
            <w:r>
              <w:rPr>
                <w:sz w:val="16"/>
                <w:szCs w:val="16"/>
                <w:lang w:eastAsia="zh-CN"/>
              </w:rPr>
              <w:t>For ISD=500m</w:t>
            </w:r>
          </w:p>
          <w:p>
            <w:pPr>
              <w:adjustRightInd w:val="0"/>
              <w:snapToGrid w:val="0"/>
              <w:spacing w:before="40" w:after="40" w:line="240" w:lineRule="auto"/>
              <w:rPr>
                <w:sz w:val="16"/>
                <w:szCs w:val="16"/>
                <w:lang w:eastAsia="zh-CN"/>
              </w:rPr>
            </w:pPr>
            <w:r>
              <w:rPr>
                <w:bCs/>
                <w:sz w:val="16"/>
                <w:szCs w:val="16"/>
                <w:lang w:val="en-GB" w:eastAsia="ja-JP"/>
              </w:rPr>
              <w:t xml:space="preserve">Minimum distance between </w:t>
            </w:r>
            <w:r>
              <w:rPr>
                <w:rFonts w:eastAsia="宋体"/>
                <w:bCs/>
                <w:sz w:val="16"/>
                <w:szCs w:val="16"/>
                <w:lang w:eastAsia="zh-CN"/>
              </w:rPr>
              <w:t>IAB Node</w:t>
            </w:r>
            <w:r>
              <w:rPr>
                <w:bCs/>
                <w:sz w:val="16"/>
                <w:szCs w:val="16"/>
                <w:lang w:val="en-GB" w:eastAsia="ja-JP"/>
              </w:rPr>
              <w:t>s</w:t>
            </w:r>
            <w:r>
              <w:rPr>
                <w:sz w:val="16"/>
                <w:szCs w:val="16"/>
                <w:lang w:eastAsia="zh-CN"/>
              </w:rPr>
              <w:t>: 40m</w:t>
            </w:r>
          </w:p>
          <w:p>
            <w:pPr>
              <w:adjustRightInd w:val="0"/>
              <w:snapToGrid w:val="0"/>
              <w:spacing w:before="40" w:after="40" w:line="240" w:lineRule="auto"/>
              <w:rPr>
                <w:sz w:val="16"/>
                <w:szCs w:val="16"/>
                <w:lang w:eastAsia="zh-CN"/>
              </w:rPr>
            </w:pPr>
            <w:r>
              <w:rPr>
                <w:bCs/>
                <w:sz w:val="16"/>
                <w:szCs w:val="16"/>
                <w:lang w:val="en-GB" w:eastAsia="ja-JP"/>
              </w:rPr>
              <w:t xml:space="preserve">Minimum distance between </w:t>
            </w:r>
            <w:r>
              <w:rPr>
                <w:rFonts w:eastAsia="宋体"/>
                <w:bCs/>
                <w:sz w:val="16"/>
                <w:szCs w:val="16"/>
                <w:lang w:eastAsia="zh-CN"/>
              </w:rPr>
              <w:t>gNB</w:t>
            </w:r>
            <w:r>
              <w:rPr>
                <w:bCs/>
                <w:sz w:val="16"/>
                <w:szCs w:val="16"/>
                <w:lang w:val="en-GB" w:eastAsia="ja-JP"/>
              </w:rPr>
              <w:t xml:space="preserve"> and UE</w:t>
            </w:r>
            <w:r>
              <w:rPr>
                <w:sz w:val="16"/>
                <w:szCs w:val="16"/>
                <w:lang w:eastAsia="zh-CN"/>
              </w:rPr>
              <w:t>:35m</w:t>
            </w:r>
          </w:p>
          <w:p>
            <w:pPr>
              <w:adjustRightInd w:val="0"/>
              <w:snapToGrid w:val="0"/>
              <w:spacing w:before="40" w:after="40" w:line="240" w:lineRule="auto"/>
              <w:rPr>
                <w:sz w:val="16"/>
                <w:szCs w:val="16"/>
                <w:lang w:eastAsia="zh-CN"/>
              </w:rPr>
            </w:pPr>
            <w:r>
              <w:rPr>
                <w:bCs/>
                <w:sz w:val="16"/>
                <w:szCs w:val="16"/>
                <w:lang w:val="en-GB" w:eastAsia="ja-JP"/>
              </w:rPr>
              <w:t xml:space="preserve">Minimum distance between </w:t>
            </w:r>
            <w:r>
              <w:rPr>
                <w:rFonts w:eastAsia="宋体"/>
                <w:bCs/>
                <w:sz w:val="16"/>
                <w:szCs w:val="16"/>
                <w:lang w:eastAsia="zh-CN"/>
              </w:rPr>
              <w:t>IAB Node</w:t>
            </w:r>
            <w:r>
              <w:rPr>
                <w:bCs/>
                <w:sz w:val="16"/>
                <w:szCs w:val="16"/>
                <w:lang w:val="en-GB" w:eastAsia="ja-JP"/>
              </w:rPr>
              <w:t xml:space="preserve"> and UE</w:t>
            </w:r>
            <w:r>
              <w:rPr>
                <w:sz w:val="16"/>
                <w:szCs w:val="16"/>
                <w:lang w:eastAsia="zh-CN"/>
              </w:rPr>
              <w:t>:10m</w:t>
            </w:r>
          </w:p>
          <w:p>
            <w:pPr>
              <w:adjustRightInd w:val="0"/>
              <w:snapToGrid w:val="0"/>
              <w:spacing w:before="40" w:after="40" w:line="240" w:lineRule="auto"/>
              <w:rPr>
                <w:sz w:val="16"/>
                <w:szCs w:val="16"/>
                <w:lang w:eastAsia="zh-CN"/>
              </w:rPr>
            </w:pPr>
            <w:r>
              <w:rPr>
                <w:bCs/>
                <w:sz w:val="16"/>
                <w:szCs w:val="16"/>
                <w:lang w:val="en-GB" w:eastAsia="ja-JP"/>
              </w:rPr>
              <w:t xml:space="preserve">Minimum distance between </w:t>
            </w:r>
            <w:r>
              <w:rPr>
                <w:rFonts w:eastAsia="宋体"/>
                <w:bCs/>
                <w:sz w:val="16"/>
                <w:szCs w:val="16"/>
                <w:lang w:eastAsia="zh-CN"/>
              </w:rPr>
              <w:t>IAB Node</w:t>
            </w:r>
            <w:r>
              <w:rPr>
                <w:bCs/>
                <w:sz w:val="16"/>
                <w:szCs w:val="16"/>
                <w:lang w:val="en-GB" w:eastAsia="ja-JP"/>
              </w:rPr>
              <w:t xml:space="preserve"> and </w:t>
            </w:r>
            <w:r>
              <w:rPr>
                <w:rFonts w:eastAsia="宋体"/>
                <w:bCs/>
                <w:sz w:val="16"/>
                <w:szCs w:val="16"/>
                <w:lang w:eastAsia="zh-CN"/>
              </w:rPr>
              <w:t>gNB</w:t>
            </w:r>
            <w:r>
              <w:rPr>
                <w:sz w:val="16"/>
                <w:szCs w:val="16"/>
                <w:lang w:eastAsia="zh-CN"/>
              </w:rPr>
              <w:t>: 40m</w:t>
            </w:r>
          </w:p>
        </w:tc>
      </w:tr>
    </w:tbl>
    <w:p>
      <w:pPr>
        <w:pStyle w:val="9"/>
        <w:numPr>
          <w:ilvl w:val="0"/>
          <w:numId w:val="0"/>
        </w:num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3CA4CEA"/>
    <w:multiLevelType w:val="multilevel"/>
    <w:tmpl w:val="43CA4CEA"/>
    <w:lvl w:ilvl="0" w:tentative="0">
      <w:start w:val="8"/>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6"/>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750"/>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7C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5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59A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2F50B4"/>
    <w:rsid w:val="018B3BAA"/>
    <w:rsid w:val="01E671C2"/>
    <w:rsid w:val="02065A2E"/>
    <w:rsid w:val="02323C3B"/>
    <w:rsid w:val="02626E3D"/>
    <w:rsid w:val="0298367A"/>
    <w:rsid w:val="02D254EC"/>
    <w:rsid w:val="02FE5F82"/>
    <w:rsid w:val="031F202C"/>
    <w:rsid w:val="032D5AEE"/>
    <w:rsid w:val="03AB67DC"/>
    <w:rsid w:val="03E46E04"/>
    <w:rsid w:val="043D2559"/>
    <w:rsid w:val="0478015E"/>
    <w:rsid w:val="04D86A1B"/>
    <w:rsid w:val="04F84992"/>
    <w:rsid w:val="05141F76"/>
    <w:rsid w:val="05510DD1"/>
    <w:rsid w:val="05FB464F"/>
    <w:rsid w:val="062A620F"/>
    <w:rsid w:val="064B00B0"/>
    <w:rsid w:val="06654A0B"/>
    <w:rsid w:val="06823D8F"/>
    <w:rsid w:val="0690450F"/>
    <w:rsid w:val="07622262"/>
    <w:rsid w:val="07677BDC"/>
    <w:rsid w:val="07905D4F"/>
    <w:rsid w:val="07CA2591"/>
    <w:rsid w:val="07CD3CDD"/>
    <w:rsid w:val="07E54DAB"/>
    <w:rsid w:val="087B66E7"/>
    <w:rsid w:val="09674661"/>
    <w:rsid w:val="097E672F"/>
    <w:rsid w:val="09825F02"/>
    <w:rsid w:val="09AB6C45"/>
    <w:rsid w:val="0A731B50"/>
    <w:rsid w:val="0A7D607C"/>
    <w:rsid w:val="0ABB5C82"/>
    <w:rsid w:val="0B802D0D"/>
    <w:rsid w:val="0BF41031"/>
    <w:rsid w:val="0C953742"/>
    <w:rsid w:val="0D4D6669"/>
    <w:rsid w:val="0D744565"/>
    <w:rsid w:val="0D7F564D"/>
    <w:rsid w:val="0D835665"/>
    <w:rsid w:val="0DE052FE"/>
    <w:rsid w:val="0E3330D0"/>
    <w:rsid w:val="0E941E12"/>
    <w:rsid w:val="0F11785B"/>
    <w:rsid w:val="0F372967"/>
    <w:rsid w:val="0F3C7751"/>
    <w:rsid w:val="0F726903"/>
    <w:rsid w:val="0F7B1CDC"/>
    <w:rsid w:val="0FDA7DDA"/>
    <w:rsid w:val="101C352B"/>
    <w:rsid w:val="107A2E2E"/>
    <w:rsid w:val="116357E0"/>
    <w:rsid w:val="120639A8"/>
    <w:rsid w:val="121C451F"/>
    <w:rsid w:val="125D4125"/>
    <w:rsid w:val="12D16B84"/>
    <w:rsid w:val="12E407E9"/>
    <w:rsid w:val="13583391"/>
    <w:rsid w:val="136B35BC"/>
    <w:rsid w:val="137F4008"/>
    <w:rsid w:val="13F672DD"/>
    <w:rsid w:val="144E5CD4"/>
    <w:rsid w:val="155204AC"/>
    <w:rsid w:val="15E12A88"/>
    <w:rsid w:val="15E95672"/>
    <w:rsid w:val="16271D63"/>
    <w:rsid w:val="16BD2FB9"/>
    <w:rsid w:val="16E7731D"/>
    <w:rsid w:val="16F27A56"/>
    <w:rsid w:val="17B9287E"/>
    <w:rsid w:val="189B2F94"/>
    <w:rsid w:val="19607D81"/>
    <w:rsid w:val="196F4C5B"/>
    <w:rsid w:val="1A5918B7"/>
    <w:rsid w:val="1A9268C2"/>
    <w:rsid w:val="1AA54D0B"/>
    <w:rsid w:val="1C3672FA"/>
    <w:rsid w:val="1D186F9D"/>
    <w:rsid w:val="1D1A62B9"/>
    <w:rsid w:val="1D8601F8"/>
    <w:rsid w:val="1DA251E1"/>
    <w:rsid w:val="1DA93704"/>
    <w:rsid w:val="1EA028D9"/>
    <w:rsid w:val="1F4325C8"/>
    <w:rsid w:val="1F595BBB"/>
    <w:rsid w:val="1F7C7957"/>
    <w:rsid w:val="1FD21E35"/>
    <w:rsid w:val="1FE10390"/>
    <w:rsid w:val="1FEE7A9C"/>
    <w:rsid w:val="205164A7"/>
    <w:rsid w:val="216D29AA"/>
    <w:rsid w:val="216D7544"/>
    <w:rsid w:val="21B80AA5"/>
    <w:rsid w:val="21BB4692"/>
    <w:rsid w:val="225216B5"/>
    <w:rsid w:val="22B37446"/>
    <w:rsid w:val="2326210D"/>
    <w:rsid w:val="235408E6"/>
    <w:rsid w:val="24715F69"/>
    <w:rsid w:val="24B140D4"/>
    <w:rsid w:val="24F907DC"/>
    <w:rsid w:val="25946B32"/>
    <w:rsid w:val="25EF43C8"/>
    <w:rsid w:val="262E08BF"/>
    <w:rsid w:val="263951B2"/>
    <w:rsid w:val="263E55AD"/>
    <w:rsid w:val="26631717"/>
    <w:rsid w:val="27972AF9"/>
    <w:rsid w:val="27E61677"/>
    <w:rsid w:val="28A96A0F"/>
    <w:rsid w:val="28EE7A07"/>
    <w:rsid w:val="29224AE0"/>
    <w:rsid w:val="2A3C3D2F"/>
    <w:rsid w:val="2AB04251"/>
    <w:rsid w:val="2AEC42E5"/>
    <w:rsid w:val="2B034D47"/>
    <w:rsid w:val="2B1666C3"/>
    <w:rsid w:val="2B694830"/>
    <w:rsid w:val="2B6F681F"/>
    <w:rsid w:val="2B893BA3"/>
    <w:rsid w:val="2BC82480"/>
    <w:rsid w:val="2C1A5D63"/>
    <w:rsid w:val="2CA73FE3"/>
    <w:rsid w:val="2CE15438"/>
    <w:rsid w:val="2D812190"/>
    <w:rsid w:val="2DA94150"/>
    <w:rsid w:val="2E1176AC"/>
    <w:rsid w:val="2E296DF7"/>
    <w:rsid w:val="2ECB7AE0"/>
    <w:rsid w:val="2F0E5D72"/>
    <w:rsid w:val="2F322289"/>
    <w:rsid w:val="30571C73"/>
    <w:rsid w:val="316C26E3"/>
    <w:rsid w:val="328D4D87"/>
    <w:rsid w:val="33021368"/>
    <w:rsid w:val="33491F36"/>
    <w:rsid w:val="33883009"/>
    <w:rsid w:val="33D438B1"/>
    <w:rsid w:val="341B5311"/>
    <w:rsid w:val="34EA3595"/>
    <w:rsid w:val="34F31159"/>
    <w:rsid w:val="350A49C8"/>
    <w:rsid w:val="357D1552"/>
    <w:rsid w:val="35D34EB8"/>
    <w:rsid w:val="35DA7F9B"/>
    <w:rsid w:val="36950F43"/>
    <w:rsid w:val="381B5FAC"/>
    <w:rsid w:val="38DC4F57"/>
    <w:rsid w:val="393853EE"/>
    <w:rsid w:val="39861D98"/>
    <w:rsid w:val="39A12E64"/>
    <w:rsid w:val="39D031D0"/>
    <w:rsid w:val="39E551C2"/>
    <w:rsid w:val="39F736B2"/>
    <w:rsid w:val="3A985F9F"/>
    <w:rsid w:val="3ACA79CB"/>
    <w:rsid w:val="3B1D04C9"/>
    <w:rsid w:val="3B342387"/>
    <w:rsid w:val="3B924465"/>
    <w:rsid w:val="3C8B2EA4"/>
    <w:rsid w:val="3CC85F33"/>
    <w:rsid w:val="3D6F2596"/>
    <w:rsid w:val="3E3D115C"/>
    <w:rsid w:val="3E5F1FCC"/>
    <w:rsid w:val="3E8D7D67"/>
    <w:rsid w:val="3E965417"/>
    <w:rsid w:val="3EBA3F51"/>
    <w:rsid w:val="3ED90D52"/>
    <w:rsid w:val="3EFB0DA2"/>
    <w:rsid w:val="3F4371E9"/>
    <w:rsid w:val="3F5B25E2"/>
    <w:rsid w:val="3FBE5D52"/>
    <w:rsid w:val="3FF17A3A"/>
    <w:rsid w:val="403917EB"/>
    <w:rsid w:val="40497ADE"/>
    <w:rsid w:val="404F7A6B"/>
    <w:rsid w:val="40705D5D"/>
    <w:rsid w:val="40C765F3"/>
    <w:rsid w:val="41256FB7"/>
    <w:rsid w:val="413C2D7C"/>
    <w:rsid w:val="415D5E6D"/>
    <w:rsid w:val="424F5E91"/>
    <w:rsid w:val="42DE6859"/>
    <w:rsid w:val="43776349"/>
    <w:rsid w:val="44605667"/>
    <w:rsid w:val="44B2766E"/>
    <w:rsid w:val="456339DC"/>
    <w:rsid w:val="458F4D24"/>
    <w:rsid w:val="459F5762"/>
    <w:rsid w:val="45F60A50"/>
    <w:rsid w:val="46764CBC"/>
    <w:rsid w:val="481739A5"/>
    <w:rsid w:val="4853345A"/>
    <w:rsid w:val="488C39D6"/>
    <w:rsid w:val="490D3059"/>
    <w:rsid w:val="49500FEB"/>
    <w:rsid w:val="496329E5"/>
    <w:rsid w:val="49F32E1B"/>
    <w:rsid w:val="4A096262"/>
    <w:rsid w:val="4A0B7057"/>
    <w:rsid w:val="4A280667"/>
    <w:rsid w:val="4A511B6E"/>
    <w:rsid w:val="4A7C4548"/>
    <w:rsid w:val="4B8B6B93"/>
    <w:rsid w:val="4B901389"/>
    <w:rsid w:val="4C31077D"/>
    <w:rsid w:val="4C69573D"/>
    <w:rsid w:val="4CBF03D6"/>
    <w:rsid w:val="4D513299"/>
    <w:rsid w:val="4DA11698"/>
    <w:rsid w:val="4DA22392"/>
    <w:rsid w:val="4E9A7FF9"/>
    <w:rsid w:val="4EDF702E"/>
    <w:rsid w:val="4F047884"/>
    <w:rsid w:val="4F813AF7"/>
    <w:rsid w:val="4F8747A0"/>
    <w:rsid w:val="4FBD6EC5"/>
    <w:rsid w:val="4FBF1AB2"/>
    <w:rsid w:val="504E5AC6"/>
    <w:rsid w:val="505076EF"/>
    <w:rsid w:val="50A126C1"/>
    <w:rsid w:val="513C5648"/>
    <w:rsid w:val="51B14BED"/>
    <w:rsid w:val="51D650AA"/>
    <w:rsid w:val="51FA3D86"/>
    <w:rsid w:val="52022698"/>
    <w:rsid w:val="53593F23"/>
    <w:rsid w:val="54175BE1"/>
    <w:rsid w:val="5445166E"/>
    <w:rsid w:val="54632332"/>
    <w:rsid w:val="54BA029F"/>
    <w:rsid w:val="55436523"/>
    <w:rsid w:val="563C5184"/>
    <w:rsid w:val="565631F5"/>
    <w:rsid w:val="56C44CD3"/>
    <w:rsid w:val="56F54050"/>
    <w:rsid w:val="57C77B72"/>
    <w:rsid w:val="581B09AF"/>
    <w:rsid w:val="589F3533"/>
    <w:rsid w:val="593261D2"/>
    <w:rsid w:val="595A6E9E"/>
    <w:rsid w:val="597F4D0D"/>
    <w:rsid w:val="5A7104B1"/>
    <w:rsid w:val="5A8F1C82"/>
    <w:rsid w:val="5AA04D8D"/>
    <w:rsid w:val="5AE9163A"/>
    <w:rsid w:val="5AFF5DE6"/>
    <w:rsid w:val="5B4026E8"/>
    <w:rsid w:val="5B482E24"/>
    <w:rsid w:val="5C6A4A1B"/>
    <w:rsid w:val="5D5C7688"/>
    <w:rsid w:val="5DA008BB"/>
    <w:rsid w:val="5DC22EF4"/>
    <w:rsid w:val="5E2C3C99"/>
    <w:rsid w:val="5E336F39"/>
    <w:rsid w:val="5E4C0B3C"/>
    <w:rsid w:val="605035BB"/>
    <w:rsid w:val="60725683"/>
    <w:rsid w:val="608E2F6C"/>
    <w:rsid w:val="60DA51C3"/>
    <w:rsid w:val="61000BA4"/>
    <w:rsid w:val="616B37AC"/>
    <w:rsid w:val="61CA4F75"/>
    <w:rsid w:val="631F60B1"/>
    <w:rsid w:val="63654AB7"/>
    <w:rsid w:val="637947A5"/>
    <w:rsid w:val="63D0005D"/>
    <w:rsid w:val="64A23B4D"/>
    <w:rsid w:val="64B7605C"/>
    <w:rsid w:val="652B096E"/>
    <w:rsid w:val="652D3EEB"/>
    <w:rsid w:val="66321E1B"/>
    <w:rsid w:val="66E16576"/>
    <w:rsid w:val="66E33C2D"/>
    <w:rsid w:val="6782601A"/>
    <w:rsid w:val="68233C28"/>
    <w:rsid w:val="68CA749C"/>
    <w:rsid w:val="691E4E56"/>
    <w:rsid w:val="692A17F3"/>
    <w:rsid w:val="69795D0D"/>
    <w:rsid w:val="69B63982"/>
    <w:rsid w:val="6A275B94"/>
    <w:rsid w:val="6A2E4954"/>
    <w:rsid w:val="6AC9421D"/>
    <w:rsid w:val="6AD94F47"/>
    <w:rsid w:val="6CDA49A3"/>
    <w:rsid w:val="6CF36133"/>
    <w:rsid w:val="6D527975"/>
    <w:rsid w:val="6DBB5D00"/>
    <w:rsid w:val="6DD1076A"/>
    <w:rsid w:val="6DDE3DAF"/>
    <w:rsid w:val="6E1735DC"/>
    <w:rsid w:val="6E4C4889"/>
    <w:rsid w:val="6F202513"/>
    <w:rsid w:val="6F56018E"/>
    <w:rsid w:val="704E640D"/>
    <w:rsid w:val="706A40CA"/>
    <w:rsid w:val="70E13200"/>
    <w:rsid w:val="715F4C2D"/>
    <w:rsid w:val="71BA5711"/>
    <w:rsid w:val="724530CF"/>
    <w:rsid w:val="72CB7F46"/>
    <w:rsid w:val="73121CB7"/>
    <w:rsid w:val="745C121D"/>
    <w:rsid w:val="7469169F"/>
    <w:rsid w:val="755C4C37"/>
    <w:rsid w:val="76177317"/>
    <w:rsid w:val="761A2E8D"/>
    <w:rsid w:val="76470FAF"/>
    <w:rsid w:val="768D7CD7"/>
    <w:rsid w:val="76C55F0D"/>
    <w:rsid w:val="77346739"/>
    <w:rsid w:val="775A7302"/>
    <w:rsid w:val="776C25E5"/>
    <w:rsid w:val="77B7237F"/>
    <w:rsid w:val="78271104"/>
    <w:rsid w:val="784B7472"/>
    <w:rsid w:val="791F75BF"/>
    <w:rsid w:val="792E6792"/>
    <w:rsid w:val="7962750F"/>
    <w:rsid w:val="796B0021"/>
    <w:rsid w:val="797218E2"/>
    <w:rsid w:val="7AB05BBC"/>
    <w:rsid w:val="7AB94AC3"/>
    <w:rsid w:val="7AE36910"/>
    <w:rsid w:val="7BED6658"/>
    <w:rsid w:val="7BF8597E"/>
    <w:rsid w:val="7C14711B"/>
    <w:rsid w:val="7C312516"/>
    <w:rsid w:val="7C45431D"/>
    <w:rsid w:val="7C4A144B"/>
    <w:rsid w:val="7C963B24"/>
    <w:rsid w:val="7D386884"/>
    <w:rsid w:val="7D3F6ED5"/>
    <w:rsid w:val="7D4C1C46"/>
    <w:rsid w:val="7DDD0501"/>
    <w:rsid w:val="7E187C0F"/>
    <w:rsid w:val="7E2653BA"/>
    <w:rsid w:val="7E2B63E7"/>
    <w:rsid w:val="7E8B79FF"/>
    <w:rsid w:val="7E935AFB"/>
    <w:rsid w:val="7EA36658"/>
    <w:rsid w:val="7EC65AAB"/>
    <w:rsid w:val="7EDB40E4"/>
    <w:rsid w:val="7F082AC1"/>
    <w:rsid w:val="7F4610EC"/>
    <w:rsid w:val="7F50759A"/>
    <w:rsid w:val="7FA522BC"/>
    <w:rsid w:val="7FC90A85"/>
    <w:rsid w:val="7FF51C2F"/>
    <w:rsid w:val="7FFF11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4"/>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Proposal1"/>
    <w:basedOn w:val="1"/>
    <w:qFormat/>
    <w:uiPriority w:val="0"/>
    <w:pPr>
      <w:tabs>
        <w:tab w:val="left" w:pos="1276"/>
      </w:tabs>
      <w:ind w:left="1276" w:hanging="1276"/>
    </w:pPr>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631</Words>
  <Characters>3600</Characters>
  <Lines>30</Lines>
  <Paragraphs>8</Paragraphs>
  <TotalTime>0</TotalTime>
  <ScaleCrop>false</ScaleCrop>
  <LinksUpToDate>false</LinksUpToDate>
  <CharactersWithSpaces>4223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2021-08-06T13:06:14Z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